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BD" w:rsidRDefault="000A75BD" w:rsidP="000A75BD">
      <w:pPr>
        <w:jc w:val="center"/>
        <w:outlineLvl w:val="0"/>
        <w:rPr>
          <w:rFonts w:ascii="Times New Roman" w:hAnsi="Times New Roman" w:cs="Times New Roman"/>
          <w:b/>
          <w:bCs/>
          <w:kern w:val="36"/>
          <w:sz w:val="40"/>
          <w:szCs w:val="40"/>
        </w:rPr>
      </w:pPr>
      <w:r w:rsidRPr="000A75BD">
        <w:rPr>
          <w:rFonts w:ascii="Times New Roman" w:hAnsi="Times New Roman" w:cs="Times New Roman"/>
          <w:b/>
          <w:bCs/>
          <w:kern w:val="36"/>
          <w:sz w:val="40"/>
          <w:szCs w:val="40"/>
        </w:rPr>
        <w:t>Налоговые органы рекомендуют направлять</w:t>
      </w:r>
    </w:p>
    <w:p w:rsidR="000A75BD" w:rsidRDefault="000A75BD" w:rsidP="000A75BD">
      <w:pPr>
        <w:jc w:val="center"/>
        <w:outlineLvl w:val="0"/>
        <w:rPr>
          <w:rFonts w:ascii="Times New Roman" w:hAnsi="Times New Roman" w:cs="Times New Roman"/>
          <w:b/>
          <w:bCs/>
          <w:kern w:val="36"/>
          <w:sz w:val="40"/>
          <w:szCs w:val="40"/>
        </w:rPr>
      </w:pPr>
      <w:r w:rsidRPr="000A75BD">
        <w:rPr>
          <w:rFonts w:ascii="Times New Roman" w:hAnsi="Times New Roman" w:cs="Times New Roman"/>
          <w:b/>
          <w:bCs/>
          <w:kern w:val="36"/>
          <w:sz w:val="40"/>
          <w:szCs w:val="40"/>
        </w:rPr>
        <w:t xml:space="preserve"> жалобы в электронном виде</w:t>
      </w:r>
    </w:p>
    <w:p w:rsidR="000A75BD" w:rsidRPr="000A75BD" w:rsidRDefault="000A75BD" w:rsidP="000A75BD">
      <w:pPr>
        <w:jc w:val="center"/>
        <w:outlineLvl w:val="0"/>
        <w:rPr>
          <w:rFonts w:ascii="Times New Roman" w:hAnsi="Times New Roman" w:cs="Times New Roman"/>
          <w:bCs/>
          <w:kern w:val="36"/>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xml:space="preserve">Налоговые органы информируют об упрощении порядка направления жалобы и получения решений по ней при досудебном урегулировании споров с налогоплательщиками. </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xml:space="preserve">С 1 мая 2020 года вступил в силу приказ ФНС России </w:t>
      </w:r>
      <w:hyperlink r:id="rId6" w:history="1">
        <w:r w:rsidRPr="000A75BD">
          <w:rPr>
            <w:rFonts w:ascii="Times New Roman" w:hAnsi="Times New Roman" w:cs="Times New Roman"/>
            <w:color w:val="000000" w:themeColor="text1"/>
            <w:sz w:val="26"/>
            <w:szCs w:val="26"/>
          </w:rPr>
          <w:t>от 20.12.2019 №ММВ-7-9/645@</w:t>
        </w:r>
      </w:hyperlink>
      <w:r w:rsidRPr="000A75BD">
        <w:rPr>
          <w:rFonts w:ascii="Times New Roman" w:hAnsi="Times New Roman" w:cs="Times New Roman"/>
          <w:sz w:val="26"/>
          <w:szCs w:val="26"/>
        </w:rPr>
        <w:t xml:space="preserve">, которым утверждена новая форма, формат и порядок представления жалобы (апелляционной жалобы) в электронном виде. </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xml:space="preserve">Направить такую жалобу по ТКС с 01 июля 2020 года могут юридические лица, предприниматели и иные физические лица, у которых есть программное обеспечение, предоставляемое операторами электронного документооборота. </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Направление жалобы в электронном виде имеет ряд преимуществ:</w:t>
      </w: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xml:space="preserve">- взаимодействие с налоговой службой в оперативном режиме, </w:t>
      </w: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сокращение затрат времени на обработку документов;</w:t>
      </w: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программное обеспечение позволяет заполнить все необходимые поля (реквизиты) без ошибок.</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Представленная жалоба должна быть подписана усиленной квалифицированной электронной подписью лица, подающего жалобу. В ответ на жалобу налоговый орган в электронном виде сообщит заявителю информацию о принятом решении, информацию о приостановлении или об отказе в приостановлении исполнения решения инспекции, а также сведения о продлении срока рассмотрения жалобы. Это поможет упростить и оптимизировать взаимодействие налоговых органов и налогоплательщиков.</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color w:val="000000" w:themeColor="text1"/>
          <w:sz w:val="26"/>
          <w:szCs w:val="26"/>
        </w:rPr>
      </w:pPr>
      <w:r w:rsidRPr="000A75BD">
        <w:rPr>
          <w:rFonts w:ascii="Times New Roman" w:hAnsi="Times New Roman" w:cs="Times New Roman"/>
          <w:sz w:val="26"/>
          <w:szCs w:val="26"/>
        </w:rPr>
        <w:t>О результатах рассмотрения можно узнать, используя интернет-</w:t>
      </w:r>
      <w:r w:rsidRPr="000A75BD">
        <w:rPr>
          <w:rFonts w:ascii="Times New Roman" w:hAnsi="Times New Roman" w:cs="Times New Roman"/>
          <w:color w:val="000000" w:themeColor="text1"/>
          <w:sz w:val="26"/>
          <w:szCs w:val="26"/>
        </w:rPr>
        <w:t>сервис «</w:t>
      </w:r>
      <w:hyperlink r:id="rId7" w:history="1">
        <w:r w:rsidRPr="000A75BD">
          <w:rPr>
            <w:rFonts w:ascii="Times New Roman" w:hAnsi="Times New Roman" w:cs="Times New Roman"/>
            <w:color w:val="000000" w:themeColor="text1"/>
            <w:sz w:val="26"/>
            <w:szCs w:val="26"/>
          </w:rPr>
          <w:t>Решения по жалобам</w:t>
        </w:r>
      </w:hyperlink>
      <w:r w:rsidRPr="000A75BD">
        <w:rPr>
          <w:rFonts w:ascii="Times New Roman" w:hAnsi="Times New Roman" w:cs="Times New Roman"/>
          <w:color w:val="000000" w:themeColor="text1"/>
          <w:sz w:val="26"/>
          <w:szCs w:val="26"/>
        </w:rPr>
        <w:t xml:space="preserve">» на сайте Федеральной налоговой службы </w:t>
      </w:r>
      <w:hyperlink r:id="rId8" w:history="1">
        <w:r w:rsidRPr="000A75BD">
          <w:rPr>
            <w:rFonts w:ascii="Times New Roman" w:hAnsi="Times New Roman" w:cs="Times New Roman"/>
            <w:color w:val="000000" w:themeColor="text1"/>
            <w:sz w:val="26"/>
            <w:szCs w:val="26"/>
          </w:rPr>
          <w:t>www.nalog.ru</w:t>
        </w:r>
      </w:hyperlink>
      <w:r w:rsidRPr="000A75BD">
        <w:rPr>
          <w:rFonts w:ascii="Times New Roman" w:hAnsi="Times New Roman" w:cs="Times New Roman"/>
          <w:color w:val="000000" w:themeColor="text1"/>
          <w:sz w:val="26"/>
          <w:szCs w:val="26"/>
        </w:rPr>
        <w:t>.</w:t>
      </w:r>
      <w:bookmarkStart w:id="0" w:name="_GoBack"/>
      <w:bookmarkEnd w:id="0"/>
    </w:p>
    <w:sectPr w:rsidR="000A75BD" w:rsidRPr="000A75BD" w:rsidSect="00A212E8">
      <w:pgSz w:w="11906" w:h="16838"/>
      <w:pgMar w:top="567" w:right="707"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A75BD"/>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724C5"/>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35/" TargetMode="External"/><Relationship Id="rId3" Type="http://schemas.openxmlformats.org/officeDocument/2006/relationships/styles" Target="styles.xml"/><Relationship Id="rId7" Type="http://schemas.openxmlformats.org/officeDocument/2006/relationships/hyperlink" Target="https://www.nalog.ru/rn35/service/complaint_dec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ru/rn35/apply_fts/pretrial/967935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8DC4E-3274-4DDD-91B1-AD60C262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2020-09-14T09:42:00Z</dcterms:created>
  <dcterms:modified xsi:type="dcterms:W3CDTF">2020-09-15T09:01:00Z</dcterms:modified>
</cp:coreProperties>
</file>